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88376" w14:textId="77777777" w:rsidR="00294242" w:rsidRDefault="007A1DBE">
      <w:pPr>
        <w:tabs>
          <w:tab w:val="right" w:pos="9991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73F978E" wp14:editId="7DA5D1A3">
                <wp:simplePos x="0" y="0"/>
                <wp:positionH relativeFrom="column">
                  <wp:posOffset>36322</wp:posOffset>
                </wp:positionH>
                <wp:positionV relativeFrom="paragraph">
                  <wp:posOffset>109837</wp:posOffset>
                </wp:positionV>
                <wp:extent cx="6264022" cy="1066927"/>
                <wp:effectExtent l="0" t="0" r="0" b="0"/>
                <wp:wrapNone/>
                <wp:docPr id="15790" name="Group 15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022" cy="1066927"/>
                          <a:chOff x="0" y="0"/>
                          <a:chExt cx="6264022" cy="1066927"/>
                        </a:xfrm>
                      </wpg:grpSpPr>
                      <pic:pic xmlns:pic="http://schemas.openxmlformats.org/drawingml/2006/picture">
                        <pic:nvPicPr>
                          <pic:cNvPr id="707" name="Picture 7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4" cy="10669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0" name="Shape 710"/>
                        <wps:cNvSpPr/>
                        <wps:spPr>
                          <a:xfrm>
                            <a:off x="1205992" y="1030986"/>
                            <a:ext cx="5058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8029">
                                <a:moveTo>
                                  <a:pt x="0" y="0"/>
                                </a:moveTo>
                                <a:lnTo>
                                  <a:pt x="505802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790" style="width:493.23pt;height:84.01pt;position:absolute;z-index:-2147482947;mso-position-horizontal-relative:text;mso-position-horizontal:absolute;margin-left:2.86pt;mso-position-vertical-relative:text;margin-top:8.64856pt;" coordsize="62640,10669">
                <v:shape id="Picture 707" style="position:absolute;width:9540;height:10669;left:0;top:0;" filled="f">
                  <v:imagedata r:id="rId10"/>
                </v:shape>
                <v:shape id="Shape 710" style="position:absolute;width:50580;height:0;left:12059;top:10309;" coordsize="5058029,0" path="m0,0l5058029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75"/>
        </w:rPr>
        <w:t>DZIENNIK URZĘDOWY</w:t>
      </w:r>
    </w:p>
    <w:p w14:paraId="0757EA5C" w14:textId="77777777" w:rsidR="00294242" w:rsidRDefault="007A1DBE">
      <w:pPr>
        <w:spacing w:after="65"/>
      </w:pPr>
      <w:r>
        <w:rPr>
          <w:rFonts w:ascii="Times New Roman" w:eastAsia="Times New Roman" w:hAnsi="Times New Roman" w:cs="Times New Roman"/>
        </w:rPr>
        <w:t xml:space="preserve"> </w:t>
      </w:r>
    </w:p>
    <w:p w14:paraId="52C69082" w14:textId="77777777" w:rsidR="00294242" w:rsidRDefault="007A1DBE">
      <w:pPr>
        <w:spacing w:after="665"/>
        <w:ind w:left="2969"/>
      </w:pPr>
      <w:r>
        <w:rPr>
          <w:rFonts w:ascii="Times New Roman" w:eastAsia="Times New Roman" w:hAnsi="Times New Roman" w:cs="Times New Roman"/>
          <w:sz w:val="42"/>
        </w:rPr>
        <w:t>WOJEWÓDZTWA OPOLSKIEGO</w:t>
      </w:r>
    </w:p>
    <w:p w14:paraId="26A29C57" w14:textId="77777777" w:rsidR="00294242" w:rsidRDefault="007A1DBE">
      <w:pPr>
        <w:spacing w:after="311" w:line="419" w:lineRule="auto"/>
        <w:ind w:left="4371" w:right="2899" w:hanging="1073"/>
      </w:pPr>
      <w:r>
        <w:rPr>
          <w:rFonts w:ascii="Times New Roman" w:eastAsia="Times New Roman" w:hAnsi="Times New Roman" w:cs="Times New Roman"/>
          <w:sz w:val="28"/>
        </w:rPr>
        <w:t>Opole, dnia 6 grudnia 2013 r. Poz. 2705</w:t>
      </w:r>
    </w:p>
    <w:p w14:paraId="47546DF4" w14:textId="77777777" w:rsidR="00294242" w:rsidRDefault="007A1DBE">
      <w:pPr>
        <w:spacing w:after="2"/>
        <w:ind w:left="55" w:right="16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UCHWAŁA NR XLV/533/13 </w:t>
      </w:r>
    </w:p>
    <w:p w14:paraId="0D0AF3E6" w14:textId="77777777" w:rsidR="00294242" w:rsidRDefault="007A1DBE">
      <w:pPr>
        <w:spacing w:after="249"/>
        <w:ind w:left="55" w:right="169" w:hanging="10"/>
        <w:jc w:val="center"/>
      </w:pPr>
      <w:r>
        <w:rPr>
          <w:rFonts w:ascii="Times New Roman" w:eastAsia="Times New Roman" w:hAnsi="Times New Roman" w:cs="Times New Roman"/>
          <w:b/>
        </w:rPr>
        <w:t>RADY MIASTA KĘDZIERZYN-KOŹLE</w:t>
      </w:r>
      <w:r>
        <w:rPr>
          <w:rFonts w:ascii="Times New Roman" w:eastAsia="Times New Roman" w:hAnsi="Times New Roman" w:cs="Times New Roman"/>
        </w:rPr>
        <w:t xml:space="preserve"> </w:t>
      </w:r>
    </w:p>
    <w:p w14:paraId="783B7241" w14:textId="77777777" w:rsidR="00294242" w:rsidRDefault="007A1DBE">
      <w:pPr>
        <w:spacing w:after="281"/>
        <w:ind w:right="119"/>
        <w:jc w:val="center"/>
      </w:pPr>
      <w:r>
        <w:rPr>
          <w:rFonts w:ascii="Times New Roman" w:eastAsia="Times New Roman" w:hAnsi="Times New Roman" w:cs="Times New Roman"/>
        </w:rPr>
        <w:t>z dnia 27 listopada 2013 r.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B9B0E31" w14:textId="77777777" w:rsidR="00294242" w:rsidRDefault="007A1DBE">
      <w:pPr>
        <w:spacing w:after="2" w:line="255" w:lineRule="auto"/>
        <w:ind w:left="370" w:hanging="128"/>
      </w:pPr>
      <w:r>
        <w:rPr>
          <w:rFonts w:ascii="Times New Roman" w:eastAsia="Times New Roman" w:hAnsi="Times New Roman" w:cs="Times New Roman"/>
          <w:b/>
        </w:rPr>
        <w:t xml:space="preserve">zmieniająca uchwałę w sprawie ustalenia cen za usługi przewozowe środkami </w:t>
      </w:r>
      <w:r>
        <w:rPr>
          <w:rFonts w:ascii="Times New Roman" w:eastAsia="Times New Roman" w:hAnsi="Times New Roman" w:cs="Times New Roman"/>
          <w:b/>
        </w:rPr>
        <w:t xml:space="preserve">miejskiego transportu zbiorowego, uprawnień do ulgowych i bezpłatnych przejazdów środkami miejskiego, publicznego </w:t>
      </w:r>
    </w:p>
    <w:p w14:paraId="267C3AE7" w14:textId="77777777" w:rsidR="00294242" w:rsidRDefault="007A1DBE">
      <w:pPr>
        <w:spacing w:after="456" w:line="255" w:lineRule="auto"/>
        <w:ind w:left="834" w:hanging="654"/>
      </w:pPr>
      <w:r>
        <w:rPr>
          <w:rFonts w:ascii="Times New Roman" w:eastAsia="Times New Roman" w:hAnsi="Times New Roman" w:cs="Times New Roman"/>
          <w:b/>
        </w:rPr>
        <w:t xml:space="preserve"> transportu zbiorowego oraz sposobu ustalania wysokości opłat dodatkowych z tytułu przewozu osób, zabranych ze sobą do przewozu rzeczy i zwie</w:t>
      </w:r>
      <w:r>
        <w:rPr>
          <w:rFonts w:ascii="Times New Roman" w:eastAsia="Times New Roman" w:hAnsi="Times New Roman" w:cs="Times New Roman"/>
          <w:b/>
        </w:rPr>
        <w:t xml:space="preserve">rząt oraz wysokości opłaty manipulacyjnej </w:t>
      </w:r>
    </w:p>
    <w:p w14:paraId="06EC863D" w14:textId="77777777" w:rsidR="00294242" w:rsidRDefault="007A1DBE">
      <w:pPr>
        <w:spacing w:after="99"/>
        <w:ind w:left="-15" w:right="105" w:firstLine="228"/>
        <w:jc w:val="both"/>
      </w:pPr>
      <w:r>
        <w:rPr>
          <w:rFonts w:ascii="Times New Roman" w:eastAsia="Times New Roman" w:hAnsi="Times New Roman" w:cs="Times New Roman"/>
        </w:rPr>
        <w:t xml:space="preserve">Na podstawie art. 18 ust. 2 pkt 15, art. 40 ust. 2 pkt 4, art. 41 ust.1 oraz art. 42 ustawy z dnia 8 marca 1990 r. o samorządzie gminnym (Dz. U. z 2013 r. poz. 594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>), art. 15 ust. 1 pkt 10 ustawy z d</w:t>
      </w:r>
      <w:r>
        <w:rPr>
          <w:rFonts w:ascii="Times New Roman" w:eastAsia="Times New Roman" w:hAnsi="Times New Roman" w:cs="Times New Roman"/>
        </w:rPr>
        <w:t xml:space="preserve">nia 16 grudnia 2010 r. o publicznym transporcie zbiorowym (Dz. U. z 2011 r. Nr 5, poz. 13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 xml:space="preserve">), oraz art. 34a ust. 2 ustawy z dnia 15 listopada 1984 r. Prawo Przewozowe (Dz. U. z 2012 r. poz. 1173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>), Rada Miasta Kędzierzyn-Koźle uc</w:t>
      </w:r>
      <w:r>
        <w:rPr>
          <w:rFonts w:ascii="Times New Roman" w:eastAsia="Times New Roman" w:hAnsi="Times New Roman" w:cs="Times New Roman"/>
        </w:rPr>
        <w:t xml:space="preserve">hwala, co następuje:  </w:t>
      </w:r>
    </w:p>
    <w:p w14:paraId="3AE68F3A" w14:textId="77777777" w:rsidR="00294242" w:rsidRDefault="007A1DBE">
      <w:pPr>
        <w:spacing w:after="99"/>
        <w:ind w:left="-15" w:right="105" w:firstLine="341"/>
        <w:jc w:val="both"/>
      </w:pPr>
      <w:r>
        <w:rPr>
          <w:rFonts w:ascii="Times New Roman" w:eastAsia="Times New Roman" w:hAnsi="Times New Roman" w:cs="Times New Roman"/>
          <w:b/>
        </w:rPr>
        <w:t xml:space="preserve">§ 1. </w:t>
      </w:r>
      <w:r>
        <w:rPr>
          <w:rFonts w:ascii="Times New Roman" w:eastAsia="Times New Roman" w:hAnsi="Times New Roman" w:cs="Times New Roman"/>
        </w:rPr>
        <w:t xml:space="preserve">W uchwale Nr XX/254/12 Rady Miasta Kędzierzyn-Koźle z dnia 29 marca 2012 r. w sprawie ustalenia cen za usługi przewozowe środkami miejskiego transportu zbiorowego, uprawnień do ulgowych i bezpłatnych przejazdów środkami </w:t>
      </w:r>
      <w:r>
        <w:rPr>
          <w:rFonts w:ascii="Times New Roman" w:eastAsia="Times New Roman" w:hAnsi="Times New Roman" w:cs="Times New Roman"/>
        </w:rPr>
        <w:t>miejskiego, publicznego transportu zbiorowego oraz sposobu ustalania wysokości opłat dodatkowych z tytułu przewozu osób, zabranych ze sobą do przewozu rzeczy i zwierząt oraz wysokości opłaty manipulacyjnej (Dz. Urz. Woj. Opolskiego z 2012 r. poz. 662) załą</w:t>
      </w:r>
      <w:r>
        <w:rPr>
          <w:rFonts w:ascii="Times New Roman" w:eastAsia="Times New Roman" w:hAnsi="Times New Roman" w:cs="Times New Roman"/>
        </w:rPr>
        <w:t xml:space="preserve">cznik nr 3 otrzymuje brzmienie określone  w załączniku do niniejszej uchwały.  </w:t>
      </w:r>
    </w:p>
    <w:p w14:paraId="3A117F55" w14:textId="77777777" w:rsidR="00294242" w:rsidRDefault="007A1DBE">
      <w:pPr>
        <w:spacing w:after="99"/>
        <w:ind w:left="351" w:right="10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§ 2. </w:t>
      </w:r>
      <w:r>
        <w:rPr>
          <w:rFonts w:ascii="Times New Roman" w:eastAsia="Times New Roman" w:hAnsi="Times New Roman" w:cs="Times New Roman"/>
        </w:rPr>
        <w:t xml:space="preserve">Wykonanie uchwały powierza się Prezydentowi Miasta Kędzierzyn-Koźle.  </w:t>
      </w:r>
    </w:p>
    <w:p w14:paraId="4C4EC2DC" w14:textId="77777777" w:rsidR="00294242" w:rsidRDefault="007A1DBE">
      <w:pPr>
        <w:spacing w:after="99"/>
        <w:ind w:left="-15" w:right="105" w:firstLine="341"/>
        <w:jc w:val="both"/>
      </w:pPr>
      <w:r>
        <w:rPr>
          <w:rFonts w:ascii="Times New Roman" w:eastAsia="Times New Roman" w:hAnsi="Times New Roman" w:cs="Times New Roman"/>
          <w:b/>
        </w:rPr>
        <w:t xml:space="preserve">§ 3. </w:t>
      </w:r>
      <w:r>
        <w:rPr>
          <w:rFonts w:ascii="Times New Roman" w:eastAsia="Times New Roman" w:hAnsi="Times New Roman" w:cs="Times New Roman"/>
        </w:rPr>
        <w:t>Uchwała podlega ogłoszeniu w Dzienniku Urzędowym Województwa Opolskiego i wchodzi w życie po up</w:t>
      </w:r>
      <w:r>
        <w:rPr>
          <w:rFonts w:ascii="Times New Roman" w:eastAsia="Times New Roman" w:hAnsi="Times New Roman" w:cs="Times New Roman"/>
        </w:rPr>
        <w:t xml:space="preserve">ływie 14 dni od dnia ogłoszenia.  </w:t>
      </w:r>
    </w:p>
    <w:p w14:paraId="049649BE" w14:textId="77777777" w:rsidR="00294242" w:rsidRDefault="007A1DBE">
      <w:pPr>
        <w:spacing w:after="19"/>
      </w:pPr>
      <w:r>
        <w:rPr>
          <w:rFonts w:ascii="Times New Roman" w:eastAsia="Times New Roman" w:hAnsi="Times New Roman" w:cs="Times New Roman"/>
        </w:rPr>
        <w:t xml:space="preserve">  </w:t>
      </w:r>
    </w:p>
    <w:p w14:paraId="1497AD02" w14:textId="77777777" w:rsidR="00294242" w:rsidRDefault="007A1DBE">
      <w:pPr>
        <w:tabs>
          <w:tab w:val="right" w:pos="9991"/>
        </w:tabs>
        <w:spacing w:after="5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Przewodniczący </w:t>
      </w:r>
    </w:p>
    <w:p w14:paraId="19D4D4EF" w14:textId="77777777" w:rsidR="00294242" w:rsidRDefault="007A1DBE">
      <w:pPr>
        <w:spacing w:after="5" w:line="253" w:lineRule="auto"/>
        <w:ind w:left="10" w:right="125" w:hanging="10"/>
        <w:jc w:val="right"/>
      </w:pPr>
      <w:r>
        <w:rPr>
          <w:rFonts w:ascii="Times New Roman" w:eastAsia="Times New Roman" w:hAnsi="Times New Roman" w:cs="Times New Roman"/>
        </w:rPr>
        <w:t xml:space="preserve">Rady Miasta Kędzierzyn-Koźle </w:t>
      </w:r>
    </w:p>
    <w:p w14:paraId="14F998F0" w14:textId="77777777" w:rsidR="00294242" w:rsidRDefault="007A1DBE">
      <w:pPr>
        <w:spacing w:after="0"/>
        <w:ind w:right="69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14:paraId="466CE6EF" w14:textId="77777777" w:rsidR="00294242" w:rsidRDefault="007A1DBE">
      <w:pPr>
        <w:spacing w:after="0"/>
        <w:ind w:right="122"/>
        <w:jc w:val="right"/>
      </w:pPr>
      <w:r>
        <w:rPr>
          <w:rFonts w:ascii="Times New Roman" w:eastAsia="Times New Roman" w:hAnsi="Times New Roman" w:cs="Times New Roman"/>
          <w:i/>
        </w:rPr>
        <w:t>Wojciech Jagiełło</w:t>
      </w:r>
      <w:r>
        <w:rPr>
          <w:rFonts w:ascii="Times New Roman" w:eastAsia="Times New Roman" w:hAnsi="Times New Roman" w:cs="Times New Roman"/>
        </w:rPr>
        <w:t xml:space="preserve"> </w:t>
      </w:r>
    </w:p>
    <w:p w14:paraId="5AE43E0F" w14:textId="77777777" w:rsidR="00294242" w:rsidRDefault="00294242">
      <w:pPr>
        <w:sectPr w:rsidR="00294242">
          <w:headerReference w:type="even" r:id="rId11"/>
          <w:headerReference w:type="default" r:id="rId12"/>
          <w:headerReference w:type="first" r:id="rId13"/>
          <w:footnotePr>
            <w:numRestart w:val="eachPage"/>
          </w:footnotePr>
          <w:pgSz w:w="11906" w:h="16838"/>
          <w:pgMar w:top="1440" w:right="896" w:bottom="1440" w:left="1020" w:header="708" w:footer="708" w:gutter="0"/>
          <w:cols w:space="708"/>
        </w:sectPr>
      </w:pPr>
    </w:p>
    <w:p w14:paraId="012D9A1F" w14:textId="77777777" w:rsidR="00294242" w:rsidRDefault="007A1DBE">
      <w:pPr>
        <w:spacing w:after="17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4D7E547A" w14:textId="77777777" w:rsidR="00294242" w:rsidRDefault="007A1DBE">
      <w:pPr>
        <w:spacing w:after="5" w:line="253" w:lineRule="auto"/>
        <w:ind w:left="10" w:right="-14" w:hanging="10"/>
        <w:jc w:val="right"/>
      </w:pPr>
      <w:r>
        <w:rPr>
          <w:rFonts w:ascii="Times New Roman" w:eastAsia="Times New Roman" w:hAnsi="Times New Roman" w:cs="Times New Roman"/>
        </w:rPr>
        <w:t xml:space="preserve">Załącznik </w:t>
      </w:r>
    </w:p>
    <w:p w14:paraId="027BB586" w14:textId="77777777" w:rsidR="00294242" w:rsidRDefault="007A1DBE">
      <w:pPr>
        <w:spacing w:after="105" w:line="253" w:lineRule="auto"/>
        <w:ind w:left="11923" w:right="-14" w:hanging="10"/>
        <w:jc w:val="right"/>
      </w:pPr>
      <w:r>
        <w:rPr>
          <w:rFonts w:ascii="Times New Roman" w:eastAsia="Times New Roman" w:hAnsi="Times New Roman" w:cs="Times New Roman"/>
        </w:rPr>
        <w:t xml:space="preserve">do Uchwały Nr XLV/533/13  Rady Miasta Kędzierzyn-Koźle  z dnia 27 listopada 2013 r.  </w:t>
      </w:r>
    </w:p>
    <w:p w14:paraId="5EEF9584" w14:textId="77777777" w:rsidR="00294242" w:rsidRDefault="007A1DBE">
      <w:pPr>
        <w:spacing w:after="243"/>
        <w:ind w:left="4536"/>
      </w:pPr>
      <w:r>
        <w:rPr>
          <w:rFonts w:ascii="Times New Roman" w:eastAsia="Times New Roman" w:hAnsi="Times New Roman" w:cs="Times New Roman"/>
        </w:rPr>
        <w:t xml:space="preserve"> </w:t>
      </w:r>
    </w:p>
    <w:p w14:paraId="2847DFDE" w14:textId="77777777" w:rsidR="00294242" w:rsidRDefault="007A1DBE">
      <w:pPr>
        <w:spacing w:after="2"/>
        <w:ind w:left="5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Uprawnienia gminne do przejazdów bezpłatnych środkami lokalnego transportu zbiorowego w granicach administracyjnych Miasta Kędzierzyn-Koźle </w:t>
      </w:r>
    </w:p>
    <w:p w14:paraId="68641C3E" w14:textId="77777777" w:rsidR="00294242" w:rsidRDefault="007A1DBE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5014" w:type="dxa"/>
        <w:tblInd w:w="-108" w:type="dxa"/>
        <w:tblCellMar>
          <w:top w:w="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768"/>
        <w:gridCol w:w="5029"/>
        <w:gridCol w:w="9217"/>
      </w:tblGrid>
      <w:tr w:rsidR="00294242" w14:paraId="79B20D11" w14:textId="77777777">
        <w:trPr>
          <w:trHeight w:val="30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5322" w14:textId="77777777" w:rsidR="00294242" w:rsidRDefault="007A1DB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2CAB" w14:textId="77777777" w:rsidR="00294242" w:rsidRDefault="007A1DB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Osoby uprawnione do przejazdów bezpłatnych 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9CDA" w14:textId="77777777" w:rsidR="00294242" w:rsidRDefault="007A1DB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Podstawa uprawnienia, dokument poświadczający </w:t>
            </w:r>
            <w:r>
              <w:rPr>
                <w:rFonts w:ascii="Times New Roman" w:eastAsia="Times New Roman" w:hAnsi="Times New Roman" w:cs="Times New Roman"/>
              </w:rPr>
              <w:t xml:space="preserve">uprawnienie </w:t>
            </w:r>
          </w:p>
        </w:tc>
      </w:tr>
      <w:tr w:rsidR="00294242" w14:paraId="1921F8DD" w14:textId="77777777">
        <w:trPr>
          <w:trHeight w:val="31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3605" w14:textId="77777777" w:rsidR="00294242" w:rsidRDefault="007A1DB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2692" w14:textId="77777777" w:rsidR="00294242" w:rsidRDefault="007A1DB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Dzieci w wieku do 3 lat 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9731" w14:textId="77777777" w:rsidR="00294242" w:rsidRDefault="007A1DB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Oświadczenie opiekuna lub dokument stwierdzający wiek dziecka </w:t>
            </w:r>
          </w:p>
        </w:tc>
      </w:tr>
      <w:tr w:rsidR="00294242" w14:paraId="48D8832C" w14:textId="77777777">
        <w:trPr>
          <w:trHeight w:val="76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E364" w14:textId="77777777" w:rsidR="00294242" w:rsidRDefault="007A1DB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5A82" w14:textId="77777777" w:rsidR="00294242" w:rsidRDefault="007A1DB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Osoby, które ukończyły 70 rok życia 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E546" w14:textId="77777777" w:rsidR="00294242" w:rsidRDefault="007A1DB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Dokument potwierdzający wiek i tożsamość, a w przypadku obywateli państw członkowskich Unii </w:t>
            </w:r>
            <w:r>
              <w:rPr>
                <w:rFonts w:ascii="Times New Roman" w:eastAsia="Times New Roman" w:hAnsi="Times New Roman" w:cs="Times New Roman"/>
              </w:rPr>
              <w:t xml:space="preserve">Europejskiej – odpowiedni dokument wystawiony przez uprawniony organ </w:t>
            </w:r>
          </w:p>
        </w:tc>
      </w:tr>
      <w:tr w:rsidR="00294242" w14:paraId="3AA1033F" w14:textId="77777777">
        <w:trPr>
          <w:trHeight w:val="368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1989" w14:textId="77777777" w:rsidR="00294242" w:rsidRDefault="007A1DB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5B7D" w14:textId="77777777" w:rsidR="00294242" w:rsidRDefault="007A1DBE">
            <w:pPr>
              <w:spacing w:after="0"/>
              <w:ind w:left="2" w:right="159"/>
            </w:pPr>
            <w:r>
              <w:rPr>
                <w:rFonts w:ascii="Times New Roman" w:eastAsia="Times New Roman" w:hAnsi="Times New Roman" w:cs="Times New Roman"/>
              </w:rPr>
              <w:t>Osoby całkowicie niezdolne do pracy i samodzielnej egzystencji (dawna I grupa inwalidzka) oraz osoby  o znacznym stopniu niepełnosprawności wraz z opiekunem towarzyszącym im w pojeź</w:t>
            </w:r>
            <w:r>
              <w:rPr>
                <w:rFonts w:ascii="Times New Roman" w:eastAsia="Times New Roman" w:hAnsi="Times New Roman" w:cs="Times New Roman"/>
              </w:rPr>
              <w:t xml:space="preserve">dzie 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7F2A" w14:textId="77777777" w:rsidR="00294242" w:rsidRDefault="007A1DBE">
            <w:pPr>
              <w:spacing w:after="0" w:line="247" w:lineRule="auto"/>
              <w:ind w:right="22"/>
            </w:pPr>
            <w:r>
              <w:rPr>
                <w:rFonts w:ascii="Times New Roman" w:eastAsia="Times New Roman" w:hAnsi="Times New Roman" w:cs="Times New Roman"/>
              </w:rPr>
              <w:t>Wypis z orzeczenia właściwej komisji lekarskiej do spraw inwalidztwa i zatrudnienia, stwierdzający zaliczenie do I grupy inwalidzkiej, wypis z orzeczenia lekarza orzecznika ZUS (rzeczoznawcy KRUS) stwierdzającego całkowitą niezdolność do pracy i samo</w:t>
            </w:r>
            <w:r>
              <w:rPr>
                <w:rFonts w:ascii="Times New Roman" w:eastAsia="Times New Roman" w:hAnsi="Times New Roman" w:cs="Times New Roman"/>
              </w:rPr>
              <w:t>dzielnej egzystencji, wypis z orzeczenia właściwego organu stwierdzający znaczny stopień niepełnosprawności, zaświadczenie ZUS stwierdzające zaliczenie wyrokiem sądu do I grupy inwalidzkiej bądź uznanie w tym samym trybie niezdolności do samodzielnej egzys</w:t>
            </w:r>
            <w:r>
              <w:rPr>
                <w:rFonts w:ascii="Times New Roman" w:eastAsia="Times New Roman" w:hAnsi="Times New Roman" w:cs="Times New Roman"/>
              </w:rPr>
              <w:t>tencji, względnie legitymacje: rencisty wojskowego, Polskiego Związku Niewidomych, Związku Ociemniałych Żołnierzy Rzeczypospolitej Polskiej, lub osoby niepełnosprawnej – wystawione przez uprawniony organ, zawierające adnotacje o zaliczeniu do I grupy inwal</w:t>
            </w:r>
            <w:r>
              <w:rPr>
                <w:rFonts w:ascii="Times New Roman" w:eastAsia="Times New Roman" w:hAnsi="Times New Roman" w:cs="Times New Roman"/>
              </w:rPr>
              <w:t xml:space="preserve">idzkiej, uznaniu niezdolności do samodzielnej egzystencji lub zaliczeniu do znacznego stopnia niepełnosprawności, a w przypadku obywateli państw członkowskich Unii Europejskiej – odpowiedni dokument wystawiony przez uprawniony organ. </w:t>
            </w:r>
          </w:p>
          <w:p w14:paraId="18561CF1" w14:textId="77777777" w:rsidR="00294242" w:rsidRDefault="007A1DB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W przypadku widoczneg</w:t>
            </w:r>
            <w:r>
              <w:rPr>
                <w:rFonts w:ascii="Times New Roman" w:eastAsia="Times New Roman" w:hAnsi="Times New Roman" w:cs="Times New Roman"/>
              </w:rPr>
              <w:t xml:space="preserve">o inwalidztwa lub niepełnosprawności nie jest wymagane posiadanie i okazywanie przez osobę uprawnioną dokumentów poświadczających uprawnienie do korzystania z przejazdów na warunkach określonych w niniejszej uchwale.  </w:t>
            </w:r>
          </w:p>
        </w:tc>
      </w:tr>
      <w:tr w:rsidR="00294242" w14:paraId="192109B9" w14:textId="77777777">
        <w:trPr>
          <w:trHeight w:val="197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5C7B" w14:textId="77777777" w:rsidR="00294242" w:rsidRDefault="007A1DB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B74B" w14:textId="77777777" w:rsidR="00294242" w:rsidRDefault="007A1DBE">
            <w:pPr>
              <w:spacing w:after="0"/>
              <w:ind w:left="2" w:right="36"/>
            </w:pPr>
            <w:r>
              <w:rPr>
                <w:rFonts w:ascii="Times New Roman" w:eastAsia="Times New Roman" w:hAnsi="Times New Roman" w:cs="Times New Roman"/>
              </w:rPr>
              <w:t xml:space="preserve">Osoby niewidome, </w:t>
            </w:r>
            <w:r>
              <w:rPr>
                <w:rFonts w:ascii="Times New Roman" w:eastAsia="Times New Roman" w:hAnsi="Times New Roman" w:cs="Times New Roman"/>
              </w:rPr>
              <w:t xml:space="preserve">ociemniałe oraz niedowidzące, wraz z opiekunem towarzyszącym im w pojeździe  lub psem przewodnikiem 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A591" w14:textId="77777777" w:rsidR="00294242" w:rsidRDefault="007A1DBE">
            <w:pPr>
              <w:spacing w:after="0" w:line="247" w:lineRule="auto"/>
            </w:pPr>
            <w:r>
              <w:rPr>
                <w:rFonts w:ascii="Times New Roman" w:eastAsia="Times New Roman" w:hAnsi="Times New Roman" w:cs="Times New Roman"/>
              </w:rPr>
              <w:t>Wypis z orzeczenia właściwej komisji lekarskiej do spraw inwalidztwa i zatrudnienia, wypis z orzeczenia lekarza orzecznika ZUS, legitymacje:, Związku Ociem</w:t>
            </w:r>
            <w:r>
              <w:rPr>
                <w:rFonts w:ascii="Times New Roman" w:eastAsia="Times New Roman" w:hAnsi="Times New Roman" w:cs="Times New Roman"/>
              </w:rPr>
              <w:t xml:space="preserve">niałych Żołnierzy Rzeczypospolitej Polskiej, Polskiego Związku Niewidomych a w przypadku obywateli państw członkowskich Unii Europejskiej - odpowiedni dokument wystawiony przez uprawniony organ. </w:t>
            </w:r>
          </w:p>
          <w:p w14:paraId="3616860A" w14:textId="77777777" w:rsidR="00294242" w:rsidRDefault="007A1DB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W przypadku widocznego inwalidztwa lub niepełnosprawności ni</w:t>
            </w:r>
            <w:r>
              <w:rPr>
                <w:rFonts w:ascii="Times New Roman" w:eastAsia="Times New Roman" w:hAnsi="Times New Roman" w:cs="Times New Roman"/>
              </w:rPr>
              <w:t xml:space="preserve">e jest wymagane posiadanie i okazywanie przez osobę uprawnioną dokumentów poświadczających uprawnienie do korzystania z przejazdów na warunkach określonych w niniejszej uchwale. </w:t>
            </w:r>
          </w:p>
        </w:tc>
      </w:tr>
    </w:tbl>
    <w:p w14:paraId="237EBAC0" w14:textId="77777777" w:rsidR="00294242" w:rsidRDefault="007A1DBE">
      <w:pPr>
        <w:spacing w:after="0"/>
        <w:jc w:val="both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15014" w:type="dxa"/>
        <w:tblInd w:w="-108" w:type="dxa"/>
        <w:tblCellMar>
          <w:top w:w="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768"/>
        <w:gridCol w:w="5029"/>
        <w:gridCol w:w="9217"/>
      </w:tblGrid>
      <w:tr w:rsidR="00294242" w14:paraId="306A97B2" w14:textId="77777777">
        <w:trPr>
          <w:trHeight w:val="87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2899" w14:textId="77777777" w:rsidR="00294242" w:rsidRDefault="007A1DB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4F0C" w14:textId="77777777" w:rsidR="00294242" w:rsidRDefault="007A1DB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Osoby głuche i głuchonieme </w:t>
            </w:r>
          </w:p>
          <w:p w14:paraId="38C6548E" w14:textId="77777777" w:rsidR="00294242" w:rsidRDefault="007A1DB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9338" w14:textId="77777777" w:rsidR="00294242" w:rsidRDefault="007A1DB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Wypis z orzeczenia właściwej </w:t>
            </w:r>
            <w:r>
              <w:rPr>
                <w:rFonts w:ascii="Times New Roman" w:eastAsia="Times New Roman" w:hAnsi="Times New Roman" w:cs="Times New Roman"/>
              </w:rPr>
              <w:t>komisji lekarskiej do spraw inwalidztwa i zatrudnienia, wypis z orzeczenia lekarza orzecznika ZUS, legitymacje: Polskiego Związku Głuchych, a w przypadku obywateli państw członkowskich Unii Europejskiej - odpowiedni dokument wystawiony przez uprawniony org</w:t>
            </w:r>
            <w:r>
              <w:rPr>
                <w:rFonts w:ascii="Times New Roman" w:eastAsia="Times New Roman" w:hAnsi="Times New Roman" w:cs="Times New Roman"/>
              </w:rPr>
              <w:t xml:space="preserve">an. </w:t>
            </w:r>
          </w:p>
        </w:tc>
      </w:tr>
      <w:tr w:rsidR="00294242" w14:paraId="0C23A4A7" w14:textId="77777777">
        <w:trPr>
          <w:trHeight w:val="169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6507" w14:textId="77777777" w:rsidR="00294242" w:rsidRDefault="007A1DB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7D75" w14:textId="77777777" w:rsidR="00294242" w:rsidRDefault="007A1DBE">
            <w:pPr>
              <w:spacing w:after="0"/>
              <w:ind w:left="2" w:right="73"/>
            </w:pPr>
            <w:r>
              <w:rPr>
                <w:rFonts w:ascii="Times New Roman" w:eastAsia="Times New Roman" w:hAnsi="Times New Roman" w:cs="Times New Roman"/>
              </w:rPr>
              <w:t>Osoby niepełnosprawne, inne niż wymienione  w pkt 3, 4 i 5 uczęszczające do dziennych ośrodków rehabilitacyjnych lub ośrodków terapii zajęciowej -  z tym, że uprawnienie obejmuje wyłącznie przejazd na odcinku linii autobusowej od miejsca zamieszk</w:t>
            </w:r>
            <w:r>
              <w:rPr>
                <w:rFonts w:ascii="Times New Roman" w:eastAsia="Times New Roman" w:hAnsi="Times New Roman" w:cs="Times New Roman"/>
              </w:rPr>
              <w:t xml:space="preserve">ania lub pobytu do ośrodka i z powrotem 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C906" w14:textId="77777777" w:rsidR="00294242" w:rsidRDefault="007A1DB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Wypis z orzeczenia komisji lekarskiej do spraw inwalidztwa i zatrudnienia, stwierdzający niepełnosprawność wraz ze skierowaniem do ośrodka a w przypadku obywateli państw członkowskich Unii Europejskiej - odpowiedni </w:t>
            </w:r>
            <w:r>
              <w:rPr>
                <w:rFonts w:ascii="Times New Roman" w:eastAsia="Times New Roman" w:hAnsi="Times New Roman" w:cs="Times New Roman"/>
              </w:rPr>
              <w:t xml:space="preserve">dokument wystawiony przez uprawniony organ.  </w:t>
            </w:r>
          </w:p>
        </w:tc>
      </w:tr>
      <w:tr w:rsidR="00294242" w14:paraId="0FFA1303" w14:textId="77777777">
        <w:trPr>
          <w:trHeight w:val="368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5A5B" w14:textId="77777777" w:rsidR="00294242" w:rsidRDefault="007A1DB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3E08" w14:textId="77777777" w:rsidR="00294242" w:rsidRDefault="007A1DB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Dzieci i młodzież niepełnosprawna oraz niedostosowana społecznie, objęta kształceniem specjalnym na podstawie ustawy o systemie oświaty a także niepełnosprawne dzieci pięcioletnie objęte </w:t>
            </w:r>
            <w:r>
              <w:rPr>
                <w:rFonts w:ascii="Times New Roman" w:eastAsia="Times New Roman" w:hAnsi="Times New Roman" w:cs="Times New Roman"/>
              </w:rPr>
              <w:t>obowiązkiem odbycia rocznego przygotowania przedszkolnego oraz towarzyszący tym osobom opiekunowie – z tym, że uprawnienie to obejmuje wyłącznie przejazd na odcinku linii autobusowej od miejsca zamieszkania lub pobytu do właściwego ośrodka (miejsca kształc</w:t>
            </w:r>
            <w:r>
              <w:rPr>
                <w:rFonts w:ascii="Times New Roman" w:eastAsia="Times New Roman" w:hAnsi="Times New Roman" w:cs="Times New Roman"/>
              </w:rPr>
              <w:t xml:space="preserve">enia specjalnego, miejsca odbywania przygotowania przedszkolnego, domu pomocy społecznej, zakładu opieki zdrowotnej, poradni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psychologiczno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pedagogicznej) i z powrotem w dni nauki 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A51B" w14:textId="77777777" w:rsidR="00294242" w:rsidRDefault="007A1DB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W zależności od tytułu uprawnienia: </w:t>
            </w:r>
          </w:p>
          <w:p w14:paraId="5981BB5F" w14:textId="77777777" w:rsidR="00294242" w:rsidRDefault="007A1DBE">
            <w:pPr>
              <w:numPr>
                <w:ilvl w:val="0"/>
                <w:numId w:val="1"/>
              </w:numPr>
              <w:spacing w:after="1" w:line="249" w:lineRule="auto"/>
              <w:ind w:right="104"/>
            </w:pPr>
            <w:r>
              <w:rPr>
                <w:rFonts w:ascii="Times New Roman" w:eastAsia="Times New Roman" w:hAnsi="Times New Roman" w:cs="Times New Roman"/>
              </w:rPr>
              <w:t>legitymacja szkolna dla uczniów dotk</w:t>
            </w:r>
            <w:r>
              <w:rPr>
                <w:rFonts w:ascii="Times New Roman" w:eastAsia="Times New Roman" w:hAnsi="Times New Roman" w:cs="Times New Roman"/>
              </w:rPr>
              <w:t xml:space="preserve">niętych inwalidztwem lub niepełnosprawnych, legitymacja przedszkolna dla dzieci niepełnosprawnych albo legitymacja szkolna lub studencka wraz z jednym  z dokumentów w ust. 2;  </w:t>
            </w:r>
          </w:p>
          <w:p w14:paraId="60FE1F0D" w14:textId="77777777" w:rsidR="00294242" w:rsidRDefault="007A1DBE">
            <w:pPr>
              <w:numPr>
                <w:ilvl w:val="0"/>
                <w:numId w:val="1"/>
              </w:numPr>
              <w:spacing w:after="0"/>
              <w:ind w:right="104"/>
            </w:pPr>
            <w:r>
              <w:rPr>
                <w:rFonts w:ascii="Times New Roman" w:eastAsia="Times New Roman" w:hAnsi="Times New Roman" w:cs="Times New Roman"/>
              </w:rPr>
              <w:t>legitymacje Polskiego Związku Niewidomych, Polskiego Związku Głuchych, Polskieg</w:t>
            </w:r>
            <w:r>
              <w:rPr>
                <w:rFonts w:ascii="Times New Roman" w:eastAsia="Times New Roman" w:hAnsi="Times New Roman" w:cs="Times New Roman"/>
              </w:rPr>
              <w:t>o Stowarzyszenia na Rzecz Osób z Upośledzeniem Umysłowym, Krajowego Komitetu Pomocy Dzieciom Niepełnosprawnym Ruchowo przy Zarządzie Głównym Towarzystwa Przyjaciół Dzieci, legitymacja osoby niepełnosprawnej wystawiona przez uprawniony organ, duplikat zaświ</w:t>
            </w:r>
            <w:r>
              <w:rPr>
                <w:rFonts w:ascii="Times New Roman" w:eastAsia="Times New Roman" w:hAnsi="Times New Roman" w:cs="Times New Roman"/>
              </w:rPr>
              <w:t>adczenia lekarskiego  o stanie zdrowia dziecka dla ustalenia prawa do zasiłku pielęgnacyjnego, wypis z orzeczenia komisji lekarskiej do spraw inwalidztwa i zatrudnienia lub orzeczenia lekarza orzecznika ZUS stwierdzający zaliczenie do jednej z grup inwalid</w:t>
            </w:r>
            <w:r>
              <w:rPr>
                <w:rFonts w:ascii="Times New Roman" w:eastAsia="Times New Roman" w:hAnsi="Times New Roman" w:cs="Times New Roman"/>
              </w:rPr>
              <w:t xml:space="preserve">ów albo całkowitą niezdolność do samodzielnej egzystencji lub też całkowitą albo częściową niezdolność do pracy, a w przypadku obywateli państw członkowskich Unii Europejskiej – odpowiedni dokument wystawiony przez uprawniony organ.  </w:t>
            </w:r>
          </w:p>
        </w:tc>
      </w:tr>
      <w:tr w:rsidR="00294242" w14:paraId="32A4A63C" w14:textId="77777777">
        <w:trPr>
          <w:trHeight w:val="56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130A" w14:textId="77777777" w:rsidR="00294242" w:rsidRDefault="007A1DB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8.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1BE8" w14:textId="77777777" w:rsidR="00294242" w:rsidRDefault="007A1DB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Umundurowani funkcjonariusze Policji, Straży Miejskiej i Żandarmerii Wojskowej 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72BE" w14:textId="77777777" w:rsidR="00294242" w:rsidRDefault="007A1DB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Legitymacja służbowa lub książeczka wojskowa. </w:t>
            </w:r>
          </w:p>
        </w:tc>
      </w:tr>
      <w:tr w:rsidR="00294242" w14:paraId="3134388F" w14:textId="77777777">
        <w:trPr>
          <w:trHeight w:val="8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2303" w14:textId="77777777" w:rsidR="00294242" w:rsidRDefault="007A1DB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1469" w14:textId="77777777" w:rsidR="00294242" w:rsidRDefault="007A1DB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Właściciele i współwłaściciele samochodów osobowych podróżujący w dniu 22 września każdego roku („Dzień bez samochodu”) 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F6C2" w14:textId="77777777" w:rsidR="00294242" w:rsidRDefault="007A1DB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Waż</w:t>
            </w:r>
            <w:r>
              <w:rPr>
                <w:rFonts w:ascii="Times New Roman" w:eastAsia="Times New Roman" w:hAnsi="Times New Roman" w:cs="Times New Roman"/>
              </w:rPr>
              <w:t xml:space="preserve">ny dowód rejestracyjny samochodu, którego właścicielem lub współwłaścicielem jest pasażer, dokument potwierdzający tożsamość. </w:t>
            </w:r>
          </w:p>
        </w:tc>
      </w:tr>
      <w:tr w:rsidR="00294242" w14:paraId="3DA42F61" w14:textId="77777777">
        <w:trPr>
          <w:trHeight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95C0" w14:textId="77777777" w:rsidR="00294242" w:rsidRDefault="007A1DB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AB63" w14:textId="77777777" w:rsidR="00294242" w:rsidRDefault="007A1DBE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Honorowi Obywatele Miasta Kędzierzyn-Koźle 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B721" w14:textId="77777777" w:rsidR="00294242" w:rsidRDefault="007A1DBE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Legitymacja wydana przez Przewodniczącego Rady Miasta Kędzierzyn-Koźle. </w:t>
            </w:r>
          </w:p>
        </w:tc>
      </w:tr>
      <w:tr w:rsidR="00294242" w14:paraId="7867AFD5" w14:textId="77777777">
        <w:trPr>
          <w:trHeight w:val="11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642B" w14:textId="77777777" w:rsidR="00294242" w:rsidRDefault="007A1DB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ADD9" w14:textId="77777777" w:rsidR="00294242" w:rsidRDefault="007A1DB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Honorowi Dawcy Krwi mieszkańcy Kędzierzyna-Koźla </w:t>
            </w:r>
          </w:p>
          <w:p w14:paraId="68972AB5" w14:textId="77777777" w:rsidR="00294242" w:rsidRDefault="007A1DB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4988" w14:textId="77777777" w:rsidR="00294242" w:rsidRDefault="007A1DB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Dokument tożsamości oraz legitymacja stwierdzająca nadanie odznaki honorowej „zasłużony Honorowy Dawca Krwi”, o której mowa w § 2 ust. 3 rozporządzenia Ministra Zdrowia z dnia 21 sierpnia 2006 r. w </w:t>
            </w:r>
            <w:r>
              <w:rPr>
                <w:rFonts w:ascii="Times New Roman" w:eastAsia="Times New Roman" w:hAnsi="Times New Roman" w:cs="Times New Roman"/>
              </w:rPr>
              <w:t xml:space="preserve">sprawie określenia wzoru oraz szczegółowych zasad i trybu nadawania odznaki honorowej „Zasłużony Honorowy dawca Krwi”. </w:t>
            </w:r>
          </w:p>
        </w:tc>
      </w:tr>
    </w:tbl>
    <w:p w14:paraId="3CD17EE2" w14:textId="77777777" w:rsidR="00294242" w:rsidRDefault="007A1DBE">
      <w:pPr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tbl>
      <w:tblPr>
        <w:tblStyle w:val="TableGrid"/>
        <w:tblW w:w="15014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68"/>
        <w:gridCol w:w="5029"/>
        <w:gridCol w:w="9217"/>
      </w:tblGrid>
      <w:tr w:rsidR="00294242" w14:paraId="443A4705" w14:textId="77777777">
        <w:trPr>
          <w:trHeight w:val="102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6B5C" w14:textId="77777777" w:rsidR="00294242" w:rsidRDefault="007A1DB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784B" w14:textId="77777777" w:rsidR="00294242" w:rsidRDefault="007A1DBE">
            <w:pPr>
              <w:spacing w:after="0"/>
              <w:ind w:left="2" w:right="41"/>
            </w:pPr>
            <w:r>
              <w:rPr>
                <w:rFonts w:ascii="Times New Roman" w:eastAsia="Times New Roman" w:hAnsi="Times New Roman" w:cs="Times New Roman"/>
              </w:rPr>
              <w:t xml:space="preserve">Uczniowie szkół gimnazjalnych wraz z opiekunem (nauczycielem), w ramach grupowych przejazdów  na zajęcia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zawodoznawcze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prowadzon</w:t>
            </w:r>
            <w:r>
              <w:rPr>
                <w:rFonts w:ascii="Times New Roman" w:eastAsia="Times New Roman" w:hAnsi="Times New Roman" w:cs="Times New Roman"/>
              </w:rPr>
              <w:t xml:space="preserve">e przez placówki oświatowe. 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C735" w14:textId="77777777" w:rsidR="00294242" w:rsidRDefault="007A1DB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Dokument tożsamości opiekuna (nauczyciela), aktualna legitymacja szkolna uczniów uczestników zajęć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zawodoznawczych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ważna na dany rok kalendarzowy, a w przypadku obywateli państw członkowskich Unii Europejskiej – odpowiedni doku</w:t>
            </w:r>
            <w:r>
              <w:rPr>
                <w:rFonts w:ascii="Times New Roman" w:eastAsia="Times New Roman" w:hAnsi="Times New Roman" w:cs="Times New Roman"/>
              </w:rPr>
              <w:t xml:space="preserve">ment wystawiony przez uprawniony organ oraz lista uczestników wyjazdu grupowego podpisana przez dyrektora gimnazjum. </w:t>
            </w:r>
          </w:p>
        </w:tc>
      </w:tr>
    </w:tbl>
    <w:p w14:paraId="0AC373F2" w14:textId="77777777" w:rsidR="00294242" w:rsidRDefault="007A1DB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743B853" w14:textId="77777777" w:rsidR="00294242" w:rsidRDefault="007A1DBE">
      <w:pPr>
        <w:spacing w:after="13"/>
        <w:ind w:right="1"/>
        <w:jc w:val="right"/>
      </w:pPr>
      <w:r>
        <w:rPr>
          <w:rFonts w:ascii="Times New Roman" w:eastAsia="Times New Roman" w:hAnsi="Times New Roman" w:cs="Times New Roman"/>
          <w:b/>
        </w:rPr>
        <w:t xml:space="preserve">Uprawnienia gminne (ulga w wysokości 50%) do przejazdów ulgowych środkami lokalnego transportu zbiorowego w granicach </w:t>
      </w:r>
      <w:r>
        <w:rPr>
          <w:rFonts w:ascii="Times New Roman" w:eastAsia="Times New Roman" w:hAnsi="Times New Roman" w:cs="Times New Roman"/>
          <w:b/>
        </w:rPr>
        <w:t>administracyjnych Mia-</w:t>
      </w:r>
    </w:p>
    <w:p w14:paraId="4C02FE7A" w14:textId="77777777" w:rsidR="00294242" w:rsidRDefault="007A1DBE">
      <w:pPr>
        <w:spacing w:after="2" w:line="255" w:lineRule="auto"/>
        <w:ind w:left="-15"/>
      </w:pPr>
      <w:proofErr w:type="spellStart"/>
      <w:r>
        <w:rPr>
          <w:rFonts w:ascii="Times New Roman" w:eastAsia="Times New Roman" w:hAnsi="Times New Roman" w:cs="Times New Roman"/>
          <w:b/>
        </w:rPr>
        <w:t>sta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Kędzierzyn-Koźle </w:t>
      </w:r>
    </w:p>
    <w:p w14:paraId="29E95C3F" w14:textId="77777777" w:rsidR="00294242" w:rsidRDefault="007A1DB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5014" w:type="dxa"/>
        <w:tblInd w:w="-108" w:type="dxa"/>
        <w:tblCellMar>
          <w:top w:w="7" w:type="dxa"/>
          <w:left w:w="108" w:type="dxa"/>
          <w:bottom w:w="0" w:type="dxa"/>
          <w:right w:w="173" w:type="dxa"/>
        </w:tblCellMar>
        <w:tblLook w:val="04A0" w:firstRow="1" w:lastRow="0" w:firstColumn="1" w:lastColumn="0" w:noHBand="0" w:noVBand="1"/>
      </w:tblPr>
      <w:tblGrid>
        <w:gridCol w:w="1054"/>
        <w:gridCol w:w="5540"/>
        <w:gridCol w:w="8420"/>
      </w:tblGrid>
      <w:tr w:rsidR="00294242" w14:paraId="148AD33F" w14:textId="77777777">
        <w:trPr>
          <w:trHeight w:val="262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B320" w14:textId="77777777" w:rsidR="00294242" w:rsidRDefault="007A1DB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D574" w14:textId="77777777" w:rsidR="00294242" w:rsidRDefault="007A1DB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Osoby uprawnione do przejazdów ulgowych 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7C50" w14:textId="77777777" w:rsidR="00294242" w:rsidRDefault="007A1DB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Podstawa uprawnienia / dokument poświadczający uprawnienie. </w:t>
            </w:r>
          </w:p>
        </w:tc>
      </w:tr>
      <w:tr w:rsidR="00294242" w14:paraId="5612AA2B" w14:textId="77777777">
        <w:trPr>
          <w:trHeight w:val="26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C49F" w14:textId="77777777" w:rsidR="00294242" w:rsidRDefault="007A1DBE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CC19" w14:textId="77777777" w:rsidR="00294242" w:rsidRDefault="007A1DB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Dzieci od ukończenia 3 lat do rozpoczęcia nauki szkolnej 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A7BB" w14:textId="77777777" w:rsidR="00294242" w:rsidRDefault="007A1DB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Oświadczenie opiekuna lub </w:t>
            </w:r>
            <w:r>
              <w:rPr>
                <w:rFonts w:ascii="Times New Roman" w:eastAsia="Times New Roman" w:hAnsi="Times New Roman" w:cs="Times New Roman"/>
              </w:rPr>
              <w:t xml:space="preserve">dokument stwierdzający wiek dziecka. </w:t>
            </w:r>
          </w:p>
        </w:tc>
      </w:tr>
      <w:tr w:rsidR="00294242" w14:paraId="004DC409" w14:textId="77777777">
        <w:trPr>
          <w:trHeight w:val="768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7096A" w14:textId="77777777" w:rsidR="00294242" w:rsidRDefault="007A1DBE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0085" w14:textId="77777777" w:rsidR="00294242" w:rsidRDefault="007A1DBE">
            <w:pPr>
              <w:spacing w:after="0"/>
              <w:ind w:left="2" w:right="152"/>
            </w:pPr>
            <w:r>
              <w:rPr>
                <w:rFonts w:ascii="Times New Roman" w:eastAsia="Times New Roman" w:hAnsi="Times New Roman" w:cs="Times New Roman"/>
              </w:rPr>
              <w:t xml:space="preserve">Uczniowie szkół podstawowych, gimnazjalnych, ponadgimnazjalnych i policealnych, nie dłużej niż do ukończenia  26 roku życia 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E66E" w14:textId="77777777" w:rsidR="00294242" w:rsidRDefault="007A1DB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Aktualna legitymacja szkolna ważna na dany rok kalendarzowy, a w przypadku </w:t>
            </w:r>
            <w:r>
              <w:rPr>
                <w:rFonts w:ascii="Times New Roman" w:eastAsia="Times New Roman" w:hAnsi="Times New Roman" w:cs="Times New Roman"/>
              </w:rPr>
              <w:t xml:space="preserve">obywateli państw członkowskich Unii Europejskiej – odpowiedni dokument wystawiony przez uprawniony organ. </w:t>
            </w:r>
          </w:p>
        </w:tc>
      </w:tr>
      <w:tr w:rsidR="00294242" w14:paraId="5675F6C6" w14:textId="77777777">
        <w:trPr>
          <w:trHeight w:val="1022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37FB" w14:textId="77777777" w:rsidR="00294242" w:rsidRDefault="007A1DBE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6030" w14:textId="77777777" w:rsidR="00294242" w:rsidRDefault="007A1DB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Emeryci i renciści 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0F05" w14:textId="77777777" w:rsidR="00294242" w:rsidRDefault="007A1DBE">
            <w:pPr>
              <w:spacing w:after="0"/>
              <w:ind w:right="59"/>
            </w:pPr>
            <w:r>
              <w:rPr>
                <w:rFonts w:ascii="Times New Roman" w:eastAsia="Times New Roman" w:hAnsi="Times New Roman" w:cs="Times New Roman"/>
              </w:rPr>
              <w:t>Dowód osobisty emeryta lub rencisty albo inny dokument tożsamości ze zdjęciem, łącznie  z dokumentem potwierdzającym pobiera</w:t>
            </w:r>
            <w:r>
              <w:rPr>
                <w:rFonts w:ascii="Times New Roman" w:eastAsia="Times New Roman" w:hAnsi="Times New Roman" w:cs="Times New Roman"/>
              </w:rPr>
              <w:t xml:space="preserve">nie świadczenia emerytalnego lub rentowego,  a w przypadku obywateli państw członkowskich Unii Europejskiej – odpowiedni dokument wystawiony przez uprawniony organ. </w:t>
            </w:r>
          </w:p>
        </w:tc>
      </w:tr>
      <w:tr w:rsidR="00294242" w14:paraId="4F56941B" w14:textId="77777777">
        <w:trPr>
          <w:trHeight w:val="516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90078" w14:textId="77777777" w:rsidR="00294242" w:rsidRDefault="007A1DBE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BCB5" w14:textId="77777777" w:rsidR="00294242" w:rsidRDefault="007A1DB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Rodzice, opiekunowie prawni rodzin wielodzietnych posiadający kartę „Dla </w:t>
            </w:r>
            <w:r>
              <w:rPr>
                <w:rFonts w:ascii="Times New Roman" w:eastAsia="Times New Roman" w:hAnsi="Times New Roman" w:cs="Times New Roman"/>
              </w:rPr>
              <w:t xml:space="preserve">Rodziny Trzy Plus” 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3FAC" w14:textId="77777777" w:rsidR="00294242" w:rsidRDefault="007A1DB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Karta „Dla Rodziny Trzy Plus” oraz dokument potwierdzający tożsamość posiadacza karty. </w:t>
            </w:r>
          </w:p>
        </w:tc>
      </w:tr>
    </w:tbl>
    <w:p w14:paraId="477CBBDB" w14:textId="77777777" w:rsidR="00294242" w:rsidRDefault="007A1DB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294242">
      <w:headerReference w:type="even" r:id="rId14"/>
      <w:headerReference w:type="default" r:id="rId15"/>
      <w:headerReference w:type="first" r:id="rId16"/>
      <w:footnotePr>
        <w:numRestart w:val="eachPage"/>
      </w:footnotePr>
      <w:pgSz w:w="16838" w:h="11906" w:orient="landscape"/>
      <w:pgMar w:top="1418" w:right="1018" w:bottom="1052" w:left="1020" w:header="9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75F70" w14:textId="77777777" w:rsidR="007A1DBE" w:rsidRDefault="007A1DBE">
      <w:pPr>
        <w:spacing w:after="0" w:line="240" w:lineRule="auto"/>
      </w:pPr>
      <w:r>
        <w:separator/>
      </w:r>
    </w:p>
  </w:endnote>
  <w:endnote w:type="continuationSeparator" w:id="0">
    <w:p w14:paraId="38B1A736" w14:textId="77777777" w:rsidR="007A1DBE" w:rsidRDefault="007A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ED49B" w14:textId="77777777" w:rsidR="007A1DBE" w:rsidRDefault="007A1DBE">
      <w:pPr>
        <w:spacing w:after="21"/>
      </w:pPr>
      <w:r>
        <w:separator/>
      </w:r>
    </w:p>
  </w:footnote>
  <w:footnote w:type="continuationSeparator" w:id="0">
    <w:p w14:paraId="14931304" w14:textId="77777777" w:rsidR="007A1DBE" w:rsidRDefault="007A1DBE">
      <w:pPr>
        <w:spacing w:after="21"/>
      </w:pPr>
      <w:r>
        <w:continuationSeparator/>
      </w:r>
    </w:p>
  </w:footnote>
  <w:footnote w:id="1">
    <w:p w14:paraId="137850FB" w14:textId="77777777" w:rsidR="00294242" w:rsidRDefault="007A1DBE">
      <w:pPr>
        <w:pStyle w:val="footnotedescription"/>
        <w:spacing w:after="21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 xml:space="preserve">Zmiana wymienionej ustawy została ogłoszona w Dz. U. z 2013 r. poz. 645.  </w:t>
      </w:r>
    </w:p>
  </w:footnote>
  <w:footnote w:id="2">
    <w:p w14:paraId="09C75918" w14:textId="77777777" w:rsidR="00294242" w:rsidRDefault="007A1DB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Z</w:t>
      </w:r>
      <w:r>
        <w:t xml:space="preserve">miana wymienionej ustawy została ogłoszona w Dz. U. z 2011 r. Nr 228, poz. 1368.  </w:t>
      </w:r>
    </w:p>
  </w:footnote>
  <w:footnote w:id="3">
    <w:p w14:paraId="3FB1B221" w14:textId="77777777" w:rsidR="00294242" w:rsidRDefault="007A1DBE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 xml:space="preserve">Zmiany tekstu jednolitego wymienionej ustawy zostały ogłoszone w Dz. U. z 2012 r. poz. 1529 i z 2013 r. poz. 1014.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8E75C" w14:textId="77777777" w:rsidR="00294242" w:rsidRDefault="002942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0426C" w14:textId="77777777" w:rsidR="00294242" w:rsidRDefault="0029424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0A586" w14:textId="77777777" w:rsidR="00294242" w:rsidRDefault="0029424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30AAE" w14:textId="77777777" w:rsidR="00294242" w:rsidRDefault="007A1DBE">
    <w:pPr>
      <w:tabs>
        <w:tab w:val="center" w:pos="7339"/>
        <w:tab w:val="right" w:pos="14800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13405BD" wp14:editId="33CCE5E6">
              <wp:simplePos x="0" y="0"/>
              <wp:positionH relativeFrom="page">
                <wp:posOffset>647954</wp:posOffset>
              </wp:positionH>
              <wp:positionV relativeFrom="page">
                <wp:posOffset>791972</wp:posOffset>
              </wp:positionV>
              <wp:extent cx="9396476" cy="12700"/>
              <wp:effectExtent l="0" t="0" r="0" b="0"/>
              <wp:wrapSquare wrapText="bothSides"/>
              <wp:docPr id="17257" name="Group 172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96476" cy="12700"/>
                        <a:chOff x="0" y="0"/>
                        <a:chExt cx="9396476" cy="12700"/>
                      </a:xfrm>
                    </wpg:grpSpPr>
                    <wps:wsp>
                      <wps:cNvPr id="17258" name="Shape 17258"/>
                      <wps:cNvSpPr/>
                      <wps:spPr>
                        <a:xfrm>
                          <a:off x="0" y="0"/>
                          <a:ext cx="939647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96476">
                              <a:moveTo>
                                <a:pt x="0" y="0"/>
                              </a:moveTo>
                              <a:lnTo>
                                <a:pt x="939647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257" style="width:739.88pt;height:1pt;position:absolute;mso-position-horizontal-relative:page;mso-position-horizontal:absolute;margin-left:51.02pt;mso-position-vertical-relative:page;margin-top:62.36pt;" coordsize="93964,127">
              <v:shape id="Shape 17258" style="position:absolute;width:93964;height:0;left:0;top:0;" coordsize="9396476,0" path="m0,0l9396476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>Dziennik Urzędowy Województwa Opolskiego</w:t>
    </w:r>
    <w:r>
      <w:rPr>
        <w:rFonts w:ascii="Times New Roman" w:eastAsia="Times New Roman" w:hAnsi="Times New Roman" w:cs="Times New Roman"/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2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–</w:t>
    </w:r>
    <w:r>
      <w:rPr>
        <w:rFonts w:ascii="Times New Roman" w:eastAsia="Times New Roman" w:hAnsi="Times New Roman" w:cs="Times New Roman"/>
        <w:sz w:val="18"/>
      </w:rPr>
      <w:tab/>
      <w:t>Poz. 2705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1837E" w14:textId="77777777" w:rsidR="00294242" w:rsidRDefault="007A1DBE">
    <w:pPr>
      <w:tabs>
        <w:tab w:val="center" w:pos="7339"/>
        <w:tab w:val="right" w:pos="14800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9C71E9" wp14:editId="4ACACAD1">
              <wp:simplePos x="0" y="0"/>
              <wp:positionH relativeFrom="page">
                <wp:posOffset>647954</wp:posOffset>
              </wp:positionH>
              <wp:positionV relativeFrom="page">
                <wp:posOffset>791972</wp:posOffset>
              </wp:positionV>
              <wp:extent cx="9396476" cy="12700"/>
              <wp:effectExtent l="0" t="0" r="0" b="0"/>
              <wp:wrapSquare wrapText="bothSides"/>
              <wp:docPr id="17243" name="Group 172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96476" cy="12700"/>
                        <a:chOff x="0" y="0"/>
                        <a:chExt cx="9396476" cy="12700"/>
                      </a:xfrm>
                    </wpg:grpSpPr>
                    <wps:wsp>
                      <wps:cNvPr id="17244" name="Shape 17244"/>
                      <wps:cNvSpPr/>
                      <wps:spPr>
                        <a:xfrm>
                          <a:off x="0" y="0"/>
                          <a:ext cx="939647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96476">
                              <a:moveTo>
                                <a:pt x="0" y="0"/>
                              </a:moveTo>
                              <a:lnTo>
                                <a:pt x="939647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243" style="width:739.88pt;height:1pt;position:absolute;mso-position-horizontal-relative:page;mso-position-horizontal:absolute;margin-left:51.02pt;mso-position-vertical-relative:page;margin-top:62.36pt;" coordsize="93964,127">
              <v:shape id="Shape 17244" style="position:absolute;width:93964;height:0;left:0;top:0;" coordsize="9396476,0" path="m0,0l9396476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>Dziennik Urzędowy Województwa Opolskiego</w:t>
    </w:r>
    <w:r>
      <w:rPr>
        <w:rFonts w:ascii="Times New Roman" w:eastAsia="Times New Roman" w:hAnsi="Times New Roman" w:cs="Times New Roman"/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2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–</w:t>
    </w:r>
    <w:r>
      <w:rPr>
        <w:rFonts w:ascii="Times New Roman" w:eastAsia="Times New Roman" w:hAnsi="Times New Roman" w:cs="Times New Roman"/>
        <w:sz w:val="18"/>
      </w:rPr>
      <w:tab/>
      <w:t>Poz. 2705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359B7" w14:textId="77777777" w:rsidR="00294242" w:rsidRDefault="007A1DBE">
    <w:pPr>
      <w:tabs>
        <w:tab w:val="center" w:pos="7339"/>
        <w:tab w:val="right" w:pos="14800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D37F3A" wp14:editId="2CC4C2F7">
              <wp:simplePos x="0" y="0"/>
              <wp:positionH relativeFrom="page">
                <wp:posOffset>647954</wp:posOffset>
              </wp:positionH>
              <wp:positionV relativeFrom="page">
                <wp:posOffset>791972</wp:posOffset>
              </wp:positionV>
              <wp:extent cx="9396476" cy="12700"/>
              <wp:effectExtent l="0" t="0" r="0" b="0"/>
              <wp:wrapSquare wrapText="bothSides"/>
              <wp:docPr id="17229" name="Group 172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96476" cy="12700"/>
                        <a:chOff x="0" y="0"/>
                        <a:chExt cx="9396476" cy="12700"/>
                      </a:xfrm>
                    </wpg:grpSpPr>
                    <wps:wsp>
                      <wps:cNvPr id="17230" name="Shape 17230"/>
                      <wps:cNvSpPr/>
                      <wps:spPr>
                        <a:xfrm>
                          <a:off x="0" y="0"/>
                          <a:ext cx="939647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96476">
                              <a:moveTo>
                                <a:pt x="0" y="0"/>
                              </a:moveTo>
                              <a:lnTo>
                                <a:pt x="939647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229" style="width:739.88pt;height:1pt;position:absolute;mso-position-horizontal-relative:page;mso-position-horizontal:absolute;margin-left:51.02pt;mso-position-vertical-relative:page;margin-top:62.36pt;" coordsize="93964,127">
              <v:shape id="Shape 17230" style="position:absolute;width:93964;height:0;left:0;top:0;" coordsize="9396476,0" path="m0,0l9396476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>Dziennik Urzędowy Województwa Opolskiego</w:t>
    </w:r>
    <w:r>
      <w:rPr>
        <w:rFonts w:ascii="Times New Roman" w:eastAsia="Times New Roman" w:hAnsi="Times New Roman" w:cs="Times New Roman"/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2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–</w:t>
    </w:r>
    <w:r>
      <w:rPr>
        <w:rFonts w:ascii="Times New Roman" w:eastAsia="Times New Roman" w:hAnsi="Times New Roman" w:cs="Times New Roman"/>
        <w:sz w:val="18"/>
      </w:rPr>
      <w:tab/>
      <w:t>Poz. 2705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129A2"/>
    <w:multiLevelType w:val="hybridMultilevel"/>
    <w:tmpl w:val="E182DD90"/>
    <w:lvl w:ilvl="0" w:tplc="5A20DE0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B06A9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BC564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44A56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DE01A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FE28D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0087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08963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4AE1B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42"/>
    <w:rsid w:val="00294242"/>
    <w:rsid w:val="007A1DBE"/>
    <w:rsid w:val="00C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3F66"/>
  <w15:docId w15:val="{ABA0AC1C-31D0-4134-B2B6-F94622F0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9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image" Target="media/image0.jpg"/><Relationship Id="rId4" Type="http://schemas.openxmlformats.org/officeDocument/2006/relationships/webSettings" Target="webSetting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1409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XLV/533/13 z dnia 27 listopada 2013 r.</dc:title>
  <dc:subject>zmieniająca uchwałę w^sprawie ustalenia cen za usługi przewozowe środkami miejskiego transportu zbiorowego, uprawnień do ulgowych i^bezpłatnych przejazdów środkami miejskiego, publicznego transportu zbiorowego oraz sposobu ustalania wysokości opłat dodatkowych z^tytułu przewozu osób, zabranych ze sobą do przewozu rzeczy i^zwierząt oraz wysokości opłaty manipulacyjnej.</dc:subject>
  <dc:creator>jgodzinska</dc:creator>
  <cp:keywords/>
  <cp:lastModifiedBy>Stanisław Kościukiewicz</cp:lastModifiedBy>
  <cp:revision>2</cp:revision>
  <dcterms:created xsi:type="dcterms:W3CDTF">2020-10-13T11:22:00Z</dcterms:created>
  <dcterms:modified xsi:type="dcterms:W3CDTF">2020-10-13T11:22:00Z</dcterms:modified>
</cp:coreProperties>
</file>